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91351">
      <w:pPr>
        <w:spacing w:line="247" w:lineRule="auto"/>
        <w:rPr>
          <w:rFonts w:ascii="Arial"/>
          <w:spacing w:val="0"/>
          <w:sz w:val="21"/>
        </w:rPr>
      </w:pPr>
    </w:p>
    <w:p w14:paraId="35D7A212">
      <w:pPr>
        <w:pStyle w:val="2"/>
        <w:spacing w:before="104" w:line="253" w:lineRule="auto"/>
        <w:ind w:left="1" w:right="169" w:firstLine="1"/>
        <w:jc w:val="center"/>
        <w:rPr>
          <w:rFonts w:hint="eastAsia" w:ascii="方正小标宋简体" w:hAnsi="方正小标宋简体" w:eastAsia="方正小标宋简体" w:cs="方正小标宋简体"/>
          <w:b/>
          <w:bCs/>
          <w:color w:val="4B4B4B"/>
          <w:spacing w:val="0"/>
          <w:sz w:val="32"/>
          <w:szCs w:val="32"/>
        </w:rPr>
      </w:pPr>
      <w:r>
        <w:rPr>
          <w:rFonts w:hint="eastAsia" w:ascii="方正小标宋简体" w:hAnsi="方正小标宋简体" w:eastAsia="方正小标宋简体" w:cs="方正小标宋简体"/>
          <w:b/>
          <w:bCs/>
          <w:color w:val="4B4B4B"/>
          <w:spacing w:val="0"/>
          <w:sz w:val="32"/>
          <w:szCs w:val="32"/>
        </w:rPr>
        <w:t>教育部办公厅关于印发</w:t>
      </w:r>
    </w:p>
    <w:p w14:paraId="768A3D5F">
      <w:pPr>
        <w:pStyle w:val="2"/>
        <w:spacing w:before="104" w:line="253" w:lineRule="auto"/>
        <w:ind w:left="1" w:right="169" w:firstLine="1"/>
        <w:jc w:val="center"/>
        <w:rPr>
          <w:rFonts w:hint="eastAsia" w:ascii="方正小标宋简体" w:hAnsi="方正小标宋简体" w:eastAsia="方正小标宋简体" w:cs="方正小标宋简体"/>
          <w:spacing w:val="0"/>
          <w:sz w:val="32"/>
          <w:szCs w:val="32"/>
        </w:rPr>
      </w:pPr>
      <w:r>
        <w:rPr>
          <w:rFonts w:hint="eastAsia" w:ascii="方正小标宋简体" w:hAnsi="方正小标宋简体" w:eastAsia="方正小标宋简体" w:cs="方正小标宋简体"/>
          <w:b/>
          <w:bCs/>
          <w:color w:val="4B4B4B"/>
          <w:spacing w:val="0"/>
          <w:sz w:val="32"/>
          <w:szCs w:val="32"/>
          <w:lang w:eastAsia="zh-CN"/>
        </w:rPr>
        <w:t>《</w:t>
      </w:r>
      <w:r>
        <w:rPr>
          <w:rFonts w:hint="eastAsia" w:ascii="方正小标宋简体" w:hAnsi="方正小标宋简体" w:eastAsia="方正小标宋简体" w:cs="方正小标宋简体"/>
          <w:b/>
          <w:bCs/>
          <w:color w:val="4B4B4B"/>
          <w:spacing w:val="0"/>
          <w:sz w:val="32"/>
          <w:szCs w:val="32"/>
        </w:rPr>
        <w:t>普通高等学校举办非学历教育管理规定（试行）</w:t>
      </w:r>
      <w:r>
        <w:rPr>
          <w:rFonts w:hint="eastAsia" w:ascii="方正小标宋简体" w:hAnsi="方正小标宋简体" w:eastAsia="方正小标宋简体" w:cs="方正小标宋简体"/>
          <w:b/>
          <w:bCs/>
          <w:color w:val="4B4B4B"/>
          <w:spacing w:val="0"/>
          <w:sz w:val="32"/>
          <w:szCs w:val="32"/>
          <w:lang w:eastAsia="zh-CN"/>
        </w:rPr>
        <w:t>》</w:t>
      </w:r>
      <w:r>
        <w:rPr>
          <w:rFonts w:hint="eastAsia" w:ascii="方正小标宋简体" w:hAnsi="方正小标宋简体" w:eastAsia="方正小标宋简体" w:cs="方正小标宋简体"/>
          <w:b/>
          <w:bCs/>
          <w:color w:val="4B4B4B"/>
          <w:spacing w:val="0"/>
          <w:sz w:val="32"/>
          <w:szCs w:val="32"/>
        </w:rPr>
        <w:t>的通知</w:t>
      </w:r>
    </w:p>
    <w:p w14:paraId="38A5A7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教职成厅函</w:t>
      </w:r>
      <w:r>
        <w:rPr>
          <w:rFonts w:hint="eastAsia" w:ascii="仿宋_GB2312" w:hAnsi="仿宋_GB2312" w:eastAsia="仿宋_GB2312" w:cs="仿宋_GB2312"/>
          <w:color w:val="4B4B4B"/>
          <w:spacing w:val="0"/>
          <w:sz w:val="28"/>
          <w:szCs w:val="28"/>
        </w:rPr>
        <w:t>〔2021〕23</w:t>
      </w:r>
      <w:r>
        <w:rPr>
          <w:rFonts w:hint="eastAsia" w:ascii="仿宋_GB2312" w:hAnsi="仿宋_GB2312" w:eastAsia="仿宋_GB2312" w:cs="仿宋_GB2312"/>
          <w:color w:val="4B4B4B"/>
          <w:spacing w:val="0"/>
          <w:sz w:val="28"/>
          <w:szCs w:val="28"/>
        </w:rPr>
        <w:t>号</w:t>
      </w:r>
    </w:p>
    <w:p w14:paraId="478B00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color w:val="4B4B4B"/>
          <w:spacing w:val="0"/>
          <w:sz w:val="28"/>
          <w:szCs w:val="28"/>
        </w:rPr>
        <w:t>各省、自治区、直辖市教育厅（教委），新疆生产建设兵团教育局，部属各高等学校</w:t>
      </w:r>
      <w:r>
        <w:rPr>
          <w:rFonts w:hint="eastAsia" w:ascii="仿宋_GB2312" w:hAnsi="仿宋_GB2312" w:eastAsia="仿宋_GB2312" w:cs="仿宋_GB2312"/>
          <w:color w:val="4B4B4B"/>
          <w:spacing w:val="0"/>
          <w:sz w:val="28"/>
          <w:szCs w:val="28"/>
        </w:rPr>
        <w:t>、部省合建各高等学</w:t>
      </w:r>
      <w:r>
        <w:rPr>
          <w:rFonts w:hint="eastAsia" w:ascii="仿宋_GB2312" w:hAnsi="仿宋_GB2312" w:eastAsia="仿宋_GB2312" w:cs="仿宋_GB2312"/>
          <w:color w:val="4B4B4B"/>
          <w:spacing w:val="0"/>
          <w:sz w:val="28"/>
          <w:szCs w:val="28"/>
        </w:rPr>
        <w:t>校，国家开放大学：</w:t>
      </w:r>
    </w:p>
    <w:p w14:paraId="048B873F">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rPr>
      </w:pPr>
      <w:r>
        <w:rPr>
          <w:rFonts w:hint="eastAsia" w:ascii="仿宋_GB2312" w:hAnsi="仿宋_GB2312" w:eastAsia="仿宋_GB2312" w:cs="仿宋_GB2312"/>
          <w:color w:val="4B4B4B"/>
          <w:spacing w:val="0"/>
          <w:sz w:val="28"/>
          <w:szCs w:val="28"/>
        </w:rPr>
        <w:t>为贯彻落实党的十九大及十九届二中、三中、四中、五中、六中全会精神，进一</w:t>
      </w:r>
      <w:r>
        <w:rPr>
          <w:rFonts w:hint="eastAsia" w:ascii="仿宋_GB2312" w:hAnsi="仿宋_GB2312" w:eastAsia="仿宋_GB2312" w:cs="仿宋_GB2312"/>
          <w:color w:val="4B4B4B"/>
          <w:spacing w:val="0"/>
          <w:sz w:val="28"/>
          <w:szCs w:val="28"/>
        </w:rPr>
        <w:t>步加强对普通高等学</w:t>
      </w:r>
      <w:r>
        <w:rPr>
          <w:rFonts w:hint="eastAsia" w:ascii="仿宋_GB2312" w:hAnsi="仿宋_GB2312" w:eastAsia="仿宋_GB2312" w:cs="仿宋_GB2312"/>
          <w:color w:val="4B4B4B"/>
          <w:spacing w:val="0"/>
          <w:sz w:val="28"/>
          <w:szCs w:val="28"/>
        </w:rPr>
        <w:t>校举办非学历</w:t>
      </w:r>
      <w:r>
        <w:rPr>
          <w:rFonts w:hint="eastAsia" w:ascii="仿宋_GB2312" w:hAnsi="仿宋_GB2312" w:eastAsia="仿宋_GB2312" w:cs="仿宋_GB2312"/>
          <w:color w:val="4B4B4B"/>
          <w:spacing w:val="0"/>
          <w:sz w:val="28"/>
          <w:szCs w:val="28"/>
        </w:rPr>
        <w:t>教育的规范管理，我部制定了《普通高等学校举办非学历教育管理规定（试行）》。现印发给你们，请遵照执行。</w:t>
      </w:r>
    </w:p>
    <w:p w14:paraId="623FD6C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rPr>
      </w:pPr>
      <w:r>
        <w:rPr>
          <w:rFonts w:hint="eastAsia" w:ascii="仿宋_GB2312" w:hAnsi="仿宋_GB2312" w:eastAsia="仿宋_GB2312" w:cs="仿宋_GB2312"/>
          <w:color w:val="4B4B4B"/>
          <w:spacing w:val="0"/>
          <w:sz w:val="28"/>
          <w:szCs w:val="28"/>
        </w:rPr>
        <w:t>执行过程中出现的重要情况和问题请及时报我部</w:t>
      </w:r>
      <w:r>
        <w:rPr>
          <w:rFonts w:hint="eastAsia" w:ascii="仿宋_GB2312" w:hAnsi="仿宋_GB2312" w:eastAsia="仿宋_GB2312" w:cs="仿宋_GB2312"/>
          <w:color w:val="4B4B4B"/>
          <w:spacing w:val="0"/>
          <w:sz w:val="28"/>
          <w:szCs w:val="28"/>
          <w:lang w:eastAsia="zh-CN"/>
        </w:rPr>
        <w:t>（</w:t>
      </w:r>
      <w:r>
        <w:rPr>
          <w:rFonts w:hint="eastAsia" w:ascii="仿宋_GB2312" w:hAnsi="仿宋_GB2312" w:eastAsia="仿宋_GB2312" w:cs="仿宋_GB2312"/>
          <w:color w:val="4B4B4B"/>
          <w:spacing w:val="0"/>
          <w:sz w:val="28"/>
          <w:szCs w:val="28"/>
        </w:rPr>
        <w:t>职业教育与成人教育司</w:t>
      </w:r>
      <w:r>
        <w:rPr>
          <w:rFonts w:hint="eastAsia" w:ascii="仿宋_GB2312" w:hAnsi="仿宋_GB2312" w:eastAsia="仿宋_GB2312" w:cs="仿宋_GB2312"/>
          <w:color w:val="4B4B4B"/>
          <w:spacing w:val="0"/>
          <w:sz w:val="28"/>
          <w:szCs w:val="28"/>
          <w:lang w:eastAsia="zh-CN"/>
        </w:rPr>
        <w:t>）</w:t>
      </w:r>
      <w:r>
        <w:rPr>
          <w:rFonts w:hint="eastAsia" w:ascii="仿宋_GB2312" w:hAnsi="仿宋_GB2312" w:eastAsia="仿宋_GB2312" w:cs="仿宋_GB2312"/>
          <w:color w:val="4B4B4B"/>
          <w:spacing w:val="0"/>
          <w:sz w:val="28"/>
          <w:szCs w:val="28"/>
        </w:rPr>
        <w:t>。</w:t>
      </w:r>
    </w:p>
    <w:p w14:paraId="699DE18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right"/>
        <w:textAlignment w:val="baseline"/>
        <w:rPr>
          <w:rFonts w:hint="eastAsia" w:ascii="仿宋_GB2312" w:hAnsi="仿宋_GB2312" w:eastAsia="仿宋_GB2312" w:cs="仿宋_GB2312"/>
          <w:color w:val="4B4B4B"/>
          <w:spacing w:val="0"/>
          <w:sz w:val="28"/>
          <w:szCs w:val="28"/>
        </w:rPr>
      </w:pPr>
      <w:r>
        <w:rPr>
          <w:rFonts w:hint="eastAsia" w:ascii="仿宋_GB2312" w:hAnsi="仿宋_GB2312" w:eastAsia="仿宋_GB2312" w:cs="仿宋_GB2312"/>
          <w:color w:val="4B4B4B"/>
          <w:spacing w:val="0"/>
          <w:sz w:val="28"/>
          <w:szCs w:val="28"/>
        </w:rPr>
        <w:t>教育部办公厅</w:t>
      </w:r>
    </w:p>
    <w:p w14:paraId="13D4BA2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right"/>
        <w:textAlignment w:val="baseline"/>
        <w:rPr>
          <w:rFonts w:hint="eastAsia" w:ascii="仿宋_GB2312" w:hAnsi="仿宋_GB2312" w:eastAsia="仿宋_GB2312" w:cs="仿宋_GB2312"/>
          <w:color w:val="4B4B4B"/>
          <w:spacing w:val="0"/>
          <w:sz w:val="28"/>
          <w:szCs w:val="28"/>
        </w:rPr>
      </w:pPr>
      <w:r>
        <w:rPr>
          <w:rFonts w:hint="eastAsia" w:ascii="仿宋_GB2312" w:hAnsi="仿宋_GB2312" w:eastAsia="仿宋_GB2312" w:cs="仿宋_GB2312"/>
          <w:color w:val="4B4B4B"/>
          <w:spacing w:val="0"/>
          <w:sz w:val="28"/>
          <w:szCs w:val="28"/>
        </w:rPr>
        <w:t>2021年11月11日</w:t>
      </w:r>
    </w:p>
    <w:p w14:paraId="2BD97AB2">
      <w:pPr>
        <w:rPr>
          <w:rFonts w:hint="eastAsia" w:ascii="方正小标宋简体" w:hAnsi="方正小标宋简体" w:eastAsia="方正小标宋简体" w:cs="方正小标宋简体"/>
          <w:b/>
          <w:bCs/>
          <w:color w:val="4B4B4B"/>
          <w:spacing w:val="0"/>
          <w:sz w:val="32"/>
          <w:szCs w:val="32"/>
        </w:rPr>
      </w:pPr>
      <w:r>
        <w:rPr>
          <w:rFonts w:hint="eastAsia" w:ascii="方正小标宋简体" w:hAnsi="方正小标宋简体" w:eastAsia="方正小标宋简体" w:cs="方正小标宋简体"/>
          <w:b/>
          <w:bCs/>
          <w:color w:val="4B4B4B"/>
          <w:spacing w:val="0"/>
          <w:sz w:val="32"/>
          <w:szCs w:val="32"/>
        </w:rPr>
        <w:br w:type="page"/>
      </w:r>
    </w:p>
    <w:p w14:paraId="505345B8">
      <w:pPr>
        <w:pStyle w:val="2"/>
        <w:spacing w:before="104" w:line="253" w:lineRule="auto"/>
        <w:ind w:left="1" w:right="169" w:firstLine="1"/>
        <w:jc w:val="center"/>
        <w:rPr>
          <w:rFonts w:hint="eastAsia" w:ascii="方正小标宋简体" w:hAnsi="方正小标宋简体" w:eastAsia="方正小标宋简体" w:cs="方正小标宋简体"/>
          <w:b/>
          <w:bCs/>
          <w:color w:val="4B4B4B"/>
          <w:spacing w:val="0"/>
          <w:sz w:val="32"/>
          <w:szCs w:val="32"/>
        </w:rPr>
      </w:pPr>
      <w:r>
        <w:rPr>
          <w:rFonts w:hint="eastAsia" w:ascii="方正小标宋简体" w:hAnsi="方正小标宋简体" w:eastAsia="方正小标宋简体" w:cs="方正小标宋简体"/>
          <w:b/>
          <w:bCs/>
          <w:color w:val="4B4B4B"/>
          <w:spacing w:val="0"/>
          <w:sz w:val="32"/>
          <w:szCs w:val="32"/>
        </w:rPr>
        <w:t>普通高等学校举办非学历教育管理规定（试行）</w:t>
      </w:r>
    </w:p>
    <w:p w14:paraId="273361FF">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rPr>
      </w:pPr>
      <w:r>
        <w:rPr>
          <w:rFonts w:hint="eastAsia" w:ascii="方正小标宋简体" w:hAnsi="方正小标宋简体" w:eastAsia="方正小标宋简体" w:cs="方正小标宋简体"/>
          <w:b w:val="0"/>
          <w:bCs w:val="0"/>
          <w:color w:val="4B4B4B"/>
          <w:spacing w:val="0"/>
          <w:sz w:val="28"/>
          <w:szCs w:val="28"/>
        </w:rPr>
        <w:t>第一章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总则</w:t>
      </w:r>
    </w:p>
    <w:p w14:paraId="1844A55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第一条为加强对普通高等学校（以下简称高校）举办非学历教育的管理，根据《中华人民共和国高等教育法》制定本规定。</w:t>
      </w:r>
    </w:p>
    <w:p w14:paraId="79C6A3F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条本规定所称非学历教育是指高校在学历教育之外面向社会举办的，以提升受教育者专业素质、职业技能、文化水平或者满足个人兴趣等为目的的各类培训、进修、研修、辅导等教育活动。以获得高等教育自学考试毕业证书为目的的自学考试辅导不在本规定的适用范围内。</w:t>
      </w:r>
    </w:p>
    <w:p w14:paraId="0060F27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rPr>
      </w:pPr>
      <w:r>
        <w:rPr>
          <w:rFonts w:hint="eastAsia" w:ascii="仿宋_GB2312" w:hAnsi="仿宋_GB2312" w:eastAsia="仿宋_GB2312" w:cs="仿宋_GB2312"/>
          <w:color w:val="4B4B4B"/>
          <w:spacing w:val="0"/>
          <w:sz w:val="28"/>
          <w:szCs w:val="28"/>
        </w:rPr>
        <w:t>第三条非学历教育要坚持以习近平新时代中国特色社会主义思想为指导，全面贯彻党的教育方针，坚持社会主义办学方向，落实立德树人根本任务；强化公益属性，发挥市场机制作用，主动服务国家战略、经济社会发展和人的全面发展；依托学科专业优势和特色，与学校发展定位相一致、与学校办学能力相适应；坚持依法依规治理，规范办学行为，提升人才培养质量。</w:t>
      </w:r>
    </w:p>
    <w:p w14:paraId="4E2048D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第四条高校在保证完成国家下达的学历教育事业计划的前提下，方可举办非学历教育。高校举办非学历教育原则上要以自招、自办、自管为主，切实落实高校办学主体责任。</w:t>
      </w:r>
    </w:p>
    <w:p w14:paraId="7596360D">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lang w:eastAsia="zh-CN"/>
        </w:rPr>
      </w:pPr>
      <w:r>
        <w:rPr>
          <w:rFonts w:hint="eastAsia" w:ascii="方正小标宋简体" w:hAnsi="方正小标宋简体" w:eastAsia="方正小标宋简体" w:cs="方正小标宋简体"/>
          <w:b w:val="0"/>
          <w:bCs w:val="0"/>
          <w:color w:val="4B4B4B"/>
          <w:spacing w:val="0"/>
          <w:sz w:val="28"/>
          <w:szCs w:val="28"/>
        </w:rPr>
        <w:t>第二章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管理体制和职责</w:t>
      </w:r>
    </w:p>
    <w:p w14:paraId="1356140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第五条国务院教育行政部门负责非学历教育的宏观指导和统筹管理，建立健全非学历教育评价标准，完善监管体系</w:t>
      </w:r>
      <w:r>
        <w:rPr>
          <w:rFonts w:hint="eastAsia" w:ascii="仿宋_GB2312" w:hAnsi="仿宋_GB2312" w:eastAsia="仿宋_GB2312" w:cs="仿宋_GB2312"/>
          <w:color w:val="4B4B4B"/>
          <w:spacing w:val="0"/>
          <w:sz w:val="28"/>
          <w:szCs w:val="28"/>
          <w:lang w:eastAsia="zh-CN"/>
        </w:rPr>
        <w:t>；</w:t>
      </w:r>
      <w:r>
        <w:rPr>
          <w:rFonts w:hint="eastAsia" w:ascii="仿宋_GB2312" w:hAnsi="仿宋_GB2312" w:eastAsia="仿宋_GB2312" w:cs="仿宋_GB2312"/>
          <w:color w:val="4B4B4B"/>
          <w:spacing w:val="0"/>
          <w:sz w:val="28"/>
          <w:szCs w:val="28"/>
        </w:rPr>
        <w:t>会同有关行业主管部门建立协同机制，加强对非学历教育的业务指导。</w:t>
      </w:r>
    </w:p>
    <w:p w14:paraId="3B898DE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第六条省级教育行政部门负责本地区非学历教育的指导、监督和管理，引导高校根据自身实际和特点优势，科学合理确定非学历教育办学规模。</w:t>
      </w:r>
    </w:p>
    <w:p w14:paraId="58AC779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七条高校负责本校非学历教育的发展规划、制度建设、规范办学和质量保证。高校党委应履行好管党治党、办学治校主体责任，强化基层党组织对涉及非学历教育工作的政治把关作用。高校应按照“管办分离”原则，明确归口管理部门，对非学历教育实施归口管理。归口管理部门不得设立在实际举办非学历教育的院系或部门（以下统称办学部门）。</w:t>
      </w:r>
    </w:p>
    <w:p w14:paraId="05B6522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八条归口管理部门负责全校非学历教育的统筹协调和规范管理，拟订非学历教育发展规划和管理制度，建立风险防控机制；对各办学部门举办的非学历教育进行立项审批；对非学历教育的招生简介、广告宣传等进行审核；对非学历教育合同事务进行管理；对非学历教育办学进行过程指导、质量监督和绩效管理；审核发放非学历教育证书等。</w:t>
      </w:r>
    </w:p>
    <w:p w14:paraId="0F06421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九条根据学校非学历教育发展规划，办学部门可结合自身优势特色，按照学校相关程序开展非学历教育。校内非实体性质的单位、职能管理部门、群团组织及教职员工个人不得以高校名义举办非学历教育。高校独资、挂靠、参股、合作举办的独立法人单位，不得以高校名义举办非学历教育；法人名称中带有高校全称或简称的，如举办非学历教育应纳入高校统一管理。</w:t>
      </w:r>
    </w:p>
    <w:p w14:paraId="7009F6ED">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lang w:eastAsia="zh-CN"/>
        </w:rPr>
      </w:pPr>
      <w:r>
        <w:rPr>
          <w:rFonts w:hint="eastAsia" w:ascii="方正小标宋简体" w:hAnsi="方正小标宋简体" w:eastAsia="方正小标宋简体" w:cs="方正小标宋简体"/>
          <w:b w:val="0"/>
          <w:bCs w:val="0"/>
          <w:color w:val="4B4B4B"/>
          <w:spacing w:val="0"/>
          <w:sz w:val="28"/>
          <w:szCs w:val="28"/>
        </w:rPr>
        <w:t>第三章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立项与招生</w:t>
      </w:r>
    </w:p>
    <w:p w14:paraId="7781F78D">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第十条高校办学部门举办非学历教育项目均须向归口管理部门提出立项申请，经审批同意后方可开展。除保密情形外，经审批通过的项目要依法依规进行信息公开。</w:t>
      </w:r>
    </w:p>
    <w:p w14:paraId="7FA1BB8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第十一条高校不得以“研究生”“硕士、博士学位”等名义举办课程进修班。面向社会举办的非学历教育不得冠以“领导干部”“总裁”“精英”“领袖”等名义，不得出现招收领导干部的宣传。</w:t>
      </w:r>
    </w:p>
    <w:p w14:paraId="6066FA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第十二条高校应严格规范非学历教育招生行为，自行组织招生，严禁委托校外机构进行代理招生。招生宣传内容必须真实、明晰、准确。</w:t>
      </w:r>
    </w:p>
    <w:p w14:paraId="2CE4DF0A">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rPr>
      </w:pPr>
      <w:r>
        <w:rPr>
          <w:rFonts w:hint="eastAsia" w:ascii="方正小标宋简体" w:hAnsi="方正小标宋简体" w:eastAsia="方正小标宋简体" w:cs="方正小标宋简体"/>
          <w:b w:val="0"/>
          <w:bCs w:val="0"/>
          <w:color w:val="4B4B4B"/>
          <w:spacing w:val="0"/>
          <w:sz w:val="28"/>
          <w:szCs w:val="28"/>
        </w:rPr>
        <w:t>第四章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合作办学</w:t>
      </w:r>
    </w:p>
    <w:p w14:paraId="5A7AB72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三条高校应严格控制非学历教育合作办学，确需与校外机构开展课程设计、教学实施等方面合作办学的，应对合作方背景、资质进行严格审查。如合作方涉及本校教职员工及其特定关系人的，应在立项申报时主动申明。</w:t>
      </w:r>
    </w:p>
    <w:p w14:paraId="443CEB8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四条合作办学要坚持高校主体地位，严禁转移、下放、出让学校的管理权、办学权、招生权和教学权，严禁项目整体外包。脱产学习超过一个月的非学历教育、受委托的领导干部培训项目，一律不得委托给社会培训机构，或与社会培训机构联合举办。</w:t>
      </w:r>
    </w:p>
    <w:p w14:paraId="32B35DD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五条非学历教育合作办学合同须经归口管理部门统一审批并由学校法定代表人或授权签字人签字，加盖学校公章。高校要重点对合同中合作模式、校名校誉使用、合作期限、权利义务、收益分配、违约责任等条款进行审核。</w:t>
      </w:r>
    </w:p>
    <w:p w14:paraId="5481C1E2">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lang w:eastAsia="zh-CN"/>
        </w:rPr>
      </w:pPr>
      <w:r>
        <w:rPr>
          <w:rFonts w:hint="eastAsia" w:ascii="方正小标宋简体" w:hAnsi="方正小标宋简体" w:eastAsia="方正小标宋简体" w:cs="方正小标宋简体"/>
          <w:b w:val="0"/>
          <w:bCs w:val="0"/>
          <w:color w:val="4B4B4B"/>
          <w:spacing w:val="0"/>
          <w:sz w:val="28"/>
          <w:szCs w:val="28"/>
        </w:rPr>
        <w:t>第五章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教学管理</w:t>
      </w:r>
    </w:p>
    <w:p w14:paraId="1E2D71D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第十六条高校要建立非学历教育教学管理制度和质量保障机制，加强项目设计、课程研发、教学组织、效果评价等方面管理，明确教学目标和计划安排，严格学习纪律和考勤考核，加强学员管理。</w:t>
      </w:r>
    </w:p>
    <w:p w14:paraId="5F8B88D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第十七条非学历教育可采取脱产、业余形式。鼓励高校创新教学模式，开展基于互联网的信息化教学和线上线下混合教学。</w:t>
      </w:r>
    </w:p>
    <w:p w14:paraId="5E207C3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第十八条高校要加强非学历教育教学资源建设，健全开发使用标准、程序和审核评价机制。鼓励高校组织优秀师资开发高水平非学历教育教学资源。</w:t>
      </w:r>
    </w:p>
    <w:p w14:paraId="23DAD24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十九条高校非学历教育结业证书应由归口管理部门统一制作、分类连续编号，与学历教育证书明显区别。高校要建立规范的结业证书审核与申领机制，做好结业申请材料的收集与归档。结业证书应当载明修业时段和学业内容。</w:t>
      </w:r>
    </w:p>
    <w:p w14:paraId="42EC1114">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lang w:eastAsia="zh-CN"/>
        </w:rPr>
      </w:pPr>
      <w:r>
        <w:rPr>
          <w:rFonts w:hint="eastAsia" w:ascii="方正小标宋简体" w:hAnsi="方正小标宋简体" w:eastAsia="方正小标宋简体" w:cs="方正小标宋简体"/>
          <w:b w:val="0"/>
          <w:bCs w:val="0"/>
          <w:color w:val="4B4B4B"/>
          <w:spacing w:val="0"/>
          <w:sz w:val="28"/>
          <w:szCs w:val="28"/>
        </w:rPr>
        <w:t>第六章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财务管理</w:t>
      </w:r>
    </w:p>
    <w:p w14:paraId="1F6E276A">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第二十条高校要按照国家及高校所在省份主管部门的规定，建立健全非学历教育财务管理制度，规范管理、防范风险。</w:t>
      </w:r>
    </w:p>
    <w:p w14:paraId="3EBD8C0E">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一条对没有明确政府定价或政府指导价的项目，高校应根据当地经济社会发展水平和培养成本合理确定收费标准。面向社会公开招生的项目，收费标准应向社会公示，自觉接受监督。涉及收费减免的，应严格履行收费减免审批程序。</w:t>
      </w:r>
    </w:p>
    <w:p w14:paraId="1002DED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rPr>
      </w:pPr>
      <w:r>
        <w:rPr>
          <w:rFonts w:hint="eastAsia" w:ascii="仿宋_GB2312" w:hAnsi="仿宋_GB2312" w:eastAsia="仿宋_GB2312" w:cs="仿宋_GB2312"/>
          <w:color w:val="4B4B4B"/>
          <w:spacing w:val="0"/>
          <w:sz w:val="28"/>
          <w:szCs w:val="28"/>
        </w:rPr>
        <w:t>第二十二条非学历教育办学所有收入纳入学校预算，统一核算，统一管理，任何单位或个人不得隐瞒、截留、占用、挪用和坐支。高校不得授权任何单位或个人代收费，不得以接受捐赠等名义乱收费。严禁合作方以任何名义收取费用。</w:t>
      </w:r>
    </w:p>
    <w:p w14:paraId="24F3D79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三条非学历教育经费支出执行国家有关财务规章制度和学校有关经费支出管理规定。属于政府采购范围的，要严格执行政府采购相关规定。使用校内资源的，要执行学校资源有偿使用相关规定。非学历教育的课酬、劳务费等酬金统一由学校财务部门据实支付。</w:t>
      </w:r>
    </w:p>
    <w:p w14:paraId="098D1F06">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lang w:eastAsia="zh-CN"/>
        </w:rPr>
      </w:pPr>
      <w:r>
        <w:rPr>
          <w:rFonts w:hint="eastAsia" w:ascii="方正小标宋简体" w:hAnsi="方正小标宋简体" w:eastAsia="方正小标宋简体" w:cs="方正小标宋简体"/>
          <w:b w:val="0"/>
          <w:bCs w:val="0"/>
          <w:color w:val="4B4B4B"/>
          <w:spacing w:val="0"/>
          <w:sz w:val="28"/>
          <w:szCs w:val="28"/>
        </w:rPr>
        <w:t>第七章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条件保障</w:t>
      </w:r>
    </w:p>
    <w:p w14:paraId="76ACBB5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四条高校要加强非学历教育师资和管理队伍建设，强化师德师风建设，选聘、培育优秀人才参与非学历教育工作；要设定授课师资准入条件，动态调整师资库，完善非学历教育绩效管理制度。聘用外籍人员需符合国家有关规定。</w:t>
      </w:r>
    </w:p>
    <w:p w14:paraId="58746CB8">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第二十五条高校要优化资源配置，不断改善非学历教育办学及食宿条件。鼓励将学校运动场馆、图书馆、实验室等资源向非学历教育学员开放。</w:t>
      </w:r>
    </w:p>
    <w:p w14:paraId="39FB7111">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第二十六条举办非学历教育需符合场地、消防、食品、卫生、网络信息等方面的安全要求，建立健全安全管理制度和应急预警处理机制，防范各类安全责任事故发生。</w:t>
      </w:r>
    </w:p>
    <w:p w14:paraId="077DA36E">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lang w:eastAsia="zh-CN"/>
        </w:rPr>
      </w:pPr>
      <w:r>
        <w:rPr>
          <w:rFonts w:hint="eastAsia" w:ascii="方正小标宋简体" w:hAnsi="方正小标宋简体" w:eastAsia="方正小标宋简体" w:cs="方正小标宋简体"/>
          <w:b w:val="0"/>
          <w:bCs w:val="0"/>
          <w:color w:val="4B4B4B"/>
          <w:spacing w:val="0"/>
          <w:sz w:val="28"/>
          <w:szCs w:val="28"/>
        </w:rPr>
        <w:t>第八章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监督管理与处罚</w:t>
      </w:r>
    </w:p>
    <w:p w14:paraId="4E41EC6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第二十七条高校要建立非学历教育中长期规划编制、年度执行情况审查、财务审计、监督检查机制，并纳入学校党委（常委）会议事事项和“三重一大”决策范畴。</w:t>
      </w:r>
    </w:p>
    <w:p w14:paraId="5D11D26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八条高校要建立覆盖非学历教育立项、研发、招生、收费、教学、评价、发证等各环节的质量管理体系，实现办学过程受监控、可追溯。高校非学历教育办学情况纳入继续教育发展年度报告工作，主动向社会公开。年度办学情况明细应报省级教育行政部门备案。</w:t>
      </w:r>
    </w:p>
    <w:p w14:paraId="49ECC0C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二十九条高校财务、审计、教师管理、学生管理、巡视巡察、纪检监察等部门要将非学历教育监督检查纳入日常工作，建立工作机制，通过日常监管、专项检查等多种方式强化监督制约，维护财经纪律，保障教学秩序，防范腐败风险。</w:t>
      </w:r>
    </w:p>
    <w:p w14:paraId="3FF87E20">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第三十条各省级教育行政部门要完善本地区高校非学历教育管理制度，建立办学质量抽查和评估机制，强化指导和监管。</w:t>
      </w:r>
    </w:p>
    <w:p w14:paraId="200DFA24">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第三十一条主管教育行政部门要建立工作责任制和责任追究制度，依法依规严肃处理高校非学历教育办学过程中的违规违纪违法问题。</w:t>
      </w:r>
    </w:p>
    <w:p w14:paraId="0873898C">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（一）对不按本规定执行的高校，或不具备教学条件、办学投入不足、教学质量低下的高校，责令限期整改；对拒不履行职责、推诿、敷衍、拖延的，应公开通报批评，并追究有关责任人责任。</w:t>
      </w:r>
    </w:p>
    <w:p w14:paraId="541C6D43">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rPr>
      </w:pPr>
      <w:r>
        <w:rPr>
          <w:rFonts w:hint="eastAsia" w:ascii="仿宋_GB2312" w:hAnsi="仿宋_GB2312" w:eastAsia="仿宋_GB2312" w:cs="仿宋_GB2312"/>
          <w:color w:val="4B4B4B"/>
          <w:spacing w:val="0"/>
          <w:sz w:val="28"/>
          <w:szCs w:val="28"/>
        </w:rPr>
        <w:t>（二）对弄虚作假，蒙骗学员，借办学之名营私牟利的，应责令高校立即整改，退还所收费用，并对</w:t>
      </w:r>
    </w:p>
    <w:p w14:paraId="335785A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主要责任者和其他直接责任人员依法依规给予处分。构成犯罪的，依法追究刑事责任。</w:t>
      </w:r>
    </w:p>
    <w:p w14:paraId="16B2F1F0">
      <w:pPr>
        <w:pStyle w:val="2"/>
        <w:spacing w:before="104" w:line="253" w:lineRule="auto"/>
        <w:ind w:left="1" w:right="169" w:firstLine="1"/>
        <w:jc w:val="center"/>
        <w:rPr>
          <w:rFonts w:hint="eastAsia" w:ascii="方正小标宋简体" w:hAnsi="方正小标宋简体" w:eastAsia="方正小标宋简体" w:cs="方正小标宋简体"/>
          <w:b w:val="0"/>
          <w:bCs w:val="0"/>
          <w:color w:val="4B4B4B"/>
          <w:spacing w:val="0"/>
          <w:sz w:val="28"/>
          <w:szCs w:val="28"/>
          <w:lang w:eastAsia="zh-CN"/>
        </w:rPr>
      </w:pPr>
      <w:r>
        <w:rPr>
          <w:rFonts w:hint="eastAsia" w:ascii="方正小标宋简体" w:hAnsi="方正小标宋简体" w:eastAsia="方正小标宋简体" w:cs="方正小标宋简体"/>
          <w:b w:val="0"/>
          <w:bCs w:val="0"/>
          <w:color w:val="4B4B4B"/>
          <w:spacing w:val="0"/>
          <w:sz w:val="28"/>
          <w:szCs w:val="28"/>
        </w:rPr>
        <w:t>第九章</w:t>
      </w:r>
      <w:r>
        <w:rPr>
          <w:rFonts w:hint="eastAsia" w:ascii="方正小标宋简体" w:hAnsi="方正小标宋简体" w:eastAsia="方正小标宋简体" w:cs="方正小标宋简体"/>
          <w:b w:val="0"/>
          <w:bCs w:val="0"/>
          <w:color w:val="4B4B4B"/>
          <w:spacing w:val="0"/>
          <w:sz w:val="28"/>
          <w:szCs w:val="28"/>
          <w:lang w:val="en-US" w:eastAsia="zh-CN"/>
        </w:rPr>
        <w:t xml:space="preserve"> </w:t>
      </w:r>
      <w:r>
        <w:rPr>
          <w:rFonts w:hint="eastAsia" w:ascii="方正小标宋简体" w:hAnsi="方正小标宋简体" w:eastAsia="方正小标宋简体" w:cs="方正小标宋简体"/>
          <w:b w:val="0"/>
          <w:bCs w:val="0"/>
          <w:color w:val="4B4B4B"/>
          <w:spacing w:val="0"/>
          <w:sz w:val="28"/>
          <w:szCs w:val="28"/>
        </w:rPr>
        <w:t>附则</w:t>
      </w:r>
    </w:p>
    <w:p w14:paraId="7B6DE152">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第三十二条职业高等学校、独立设置的成人高等学校、开放大学举办非学历教育参照本规定执行。</w:t>
      </w:r>
    </w:p>
    <w:p w14:paraId="24B58245">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第三十三条高校面向特定行业、特定地域、特定群体举办的非学历教育，须同时遵守相关规定。</w:t>
      </w:r>
    </w:p>
    <w:p w14:paraId="0B288047">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0"/>
          <w:sz w:val="28"/>
          <w:szCs w:val="28"/>
          <w:lang w:eastAsia="zh-CN"/>
        </w:rPr>
      </w:pPr>
      <w:r>
        <w:rPr>
          <w:rFonts w:hint="eastAsia" w:ascii="仿宋_GB2312" w:hAnsi="仿宋_GB2312" w:eastAsia="仿宋_GB2312" w:cs="仿宋_GB2312"/>
          <w:color w:val="4B4B4B"/>
          <w:spacing w:val="0"/>
          <w:sz w:val="28"/>
          <w:szCs w:val="28"/>
        </w:rPr>
        <w:t>第三十四条本规定的解释权属教育部。</w:t>
      </w:r>
      <w:bookmarkStart w:id="0" w:name="_GoBack"/>
      <w:bookmarkEnd w:id="0"/>
    </w:p>
    <w:p w14:paraId="6FA99126">
      <w:pPr>
        <w:pStyle w:val="2"/>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仿宋_GB2312" w:hAnsi="仿宋_GB2312" w:eastAsia="仿宋_GB2312" w:cs="仿宋_GB2312"/>
          <w:color w:val="4B4B4B"/>
          <w:spacing w:val="1"/>
          <w:sz w:val="28"/>
          <w:szCs w:val="28"/>
        </w:rPr>
      </w:pPr>
      <w:r>
        <w:rPr>
          <w:rFonts w:hint="eastAsia" w:ascii="仿宋_GB2312" w:hAnsi="仿宋_GB2312" w:eastAsia="仿宋_GB2312" w:cs="仿宋_GB2312"/>
          <w:color w:val="4B4B4B"/>
          <w:spacing w:val="0"/>
          <w:sz w:val="28"/>
          <w:szCs w:val="28"/>
        </w:rPr>
        <w:t>第三十五条本规定自发布之日起施行。</w:t>
      </w:r>
    </w:p>
    <w:sectPr>
      <w:headerReference r:id="rId5" w:type="default"/>
      <w:pgSz w:w="11900" w:h="16840"/>
      <w:pgMar w:top="1134" w:right="1134" w:bottom="1134"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B1CE2">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2371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3634</Words>
  <Characters>3676</Characters>
  <TotalTime>9</TotalTime>
  <ScaleCrop>false</ScaleCrop>
  <LinksUpToDate>false</LinksUpToDate>
  <CharactersWithSpaces>3820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2021-11-23T11:21:00Z</dcterms:created>
  <dc:creator>Administrator</dc:creator>
  <cp:lastModifiedBy>培训中心张志成</cp:lastModifiedBy>
  <dcterms:modified xsi:type="dcterms:W3CDTF">2024-12-05T07:02:39Z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2024-12-05T14:52:34Z</vt:filetime>
  </property>
  <property fmtid="{D5CDD505-2E9C-101B-9397-08002B2CF9AE}" pid="4" name="KSOProductBuildVer">
    <vt:lpwstr>2052-12.1.0.18912</vt:lpwstr>
  </property>
  <property fmtid="{D5CDD505-2E9C-101B-9397-08002B2CF9AE}" pid="5" name="ICV">
    <vt:lpwstr>63339E07717E425EA509D33A5C042A45_12</vt:lpwstr>
  </property>
</Properties>
</file>